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9C5DB" w14:textId="5D8405C3" w:rsidR="004F15DC" w:rsidRPr="000F48FF" w:rsidRDefault="004F15DC" w:rsidP="004F15DC">
      <w:pPr>
        <w:pStyle w:val="Heading1"/>
        <w:rPr>
          <w:b/>
          <w:bCs/>
          <w:color w:val="000000" w:themeColor="text1"/>
        </w:rPr>
      </w:pPr>
      <w:bookmarkStart w:id="0" w:name="_GoBack"/>
      <w:r w:rsidRPr="000F48FF">
        <w:rPr>
          <w:b/>
          <w:bCs/>
          <w:color w:val="000000" w:themeColor="text1"/>
        </w:rPr>
        <w:t>Summary of reviewable decisions</w:t>
      </w:r>
    </w:p>
    <w:p w14:paraId="2CDE00FA" w14:textId="5E4105A5" w:rsidR="004F15DC" w:rsidRPr="000F48FF" w:rsidRDefault="004F15DC" w:rsidP="004F15DC">
      <w:pPr>
        <w:rPr>
          <w:i/>
          <w:iCs/>
          <w:color w:val="000000" w:themeColor="text1"/>
        </w:rPr>
      </w:pPr>
      <w:r w:rsidRPr="000F48FF">
        <w:rPr>
          <w:i/>
          <w:iCs/>
          <w:color w:val="000000" w:themeColor="text1"/>
        </w:rPr>
        <w:t>Current as at 1 February 2020</w:t>
      </w:r>
    </w:p>
    <w:p w14:paraId="1F3270E7" w14:textId="31AE3E7D" w:rsidR="004F15DC" w:rsidRPr="000F48FF" w:rsidRDefault="004F15DC" w:rsidP="004F15DC">
      <w:pPr>
        <w:rPr>
          <w:color w:val="000000" w:themeColor="text1"/>
        </w:rPr>
      </w:pPr>
      <w:r w:rsidRPr="000F48FF">
        <w:rPr>
          <w:color w:val="000000" w:themeColor="text1"/>
        </w:rPr>
        <w:t>The following is a list of some of the decisions that are reviewable by ACAT</w:t>
      </w:r>
      <w:r w:rsidR="00D135BF" w:rsidRPr="000F48FF">
        <w:rPr>
          <w:color w:val="000000" w:themeColor="text1"/>
        </w:rPr>
        <w:t xml:space="preserve"> under the </w:t>
      </w:r>
      <w:r w:rsidR="005B380A" w:rsidRPr="000F48FF">
        <w:rPr>
          <w:i/>
          <w:iCs/>
          <w:color w:val="000000" w:themeColor="text1"/>
        </w:rPr>
        <w:t>Motor</w:t>
      </w:r>
      <w:r w:rsidR="00542848" w:rsidRPr="000F48FF">
        <w:rPr>
          <w:i/>
          <w:iCs/>
          <w:color w:val="000000" w:themeColor="text1"/>
        </w:rPr>
        <w:t> </w:t>
      </w:r>
      <w:r w:rsidR="005B380A" w:rsidRPr="000F48FF">
        <w:rPr>
          <w:i/>
          <w:iCs/>
          <w:color w:val="000000" w:themeColor="text1"/>
        </w:rPr>
        <w:t>Accident Injuries Act 2019</w:t>
      </w:r>
      <w:r w:rsidRPr="000F48FF">
        <w:rPr>
          <w:color w:val="000000" w:themeColor="text1"/>
        </w:rPr>
        <w:t>. You will need to check any correspondence that you receive from the insurer carefully as there may be other decisions that ACAT can review.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95"/>
        <w:gridCol w:w="1472"/>
      </w:tblGrid>
      <w:tr w:rsidR="000F48FF" w:rsidRPr="000F48FF" w14:paraId="637F8836" w14:textId="77777777" w:rsidTr="00C75EF3">
        <w:trPr>
          <w:tblHeader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10AD" w14:textId="77777777" w:rsidR="004F15DC" w:rsidRPr="000F48FF" w:rsidRDefault="004F15DC" w:rsidP="00F44AF2">
            <w:pPr>
              <w:rPr>
                <w:b/>
                <w:bCs/>
                <w:color w:val="000000" w:themeColor="text1"/>
              </w:rPr>
            </w:pPr>
            <w:r w:rsidRPr="000F48FF">
              <w:rPr>
                <w:b/>
                <w:bCs/>
                <w:color w:val="000000" w:themeColor="text1"/>
              </w:rPr>
              <w:t>Insurer’s</w:t>
            </w:r>
            <w:r w:rsidRPr="000F48FF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0F48FF">
              <w:rPr>
                <w:b/>
                <w:bCs/>
                <w:color w:val="000000" w:themeColor="text1"/>
              </w:rPr>
              <w:t>decision:</w:t>
            </w:r>
          </w:p>
          <w:p w14:paraId="4EE6B6FB" w14:textId="26B7E211" w:rsidR="004F15DC" w:rsidRPr="000F48FF" w:rsidRDefault="004F15DC" w:rsidP="00F44AF2">
            <w:pPr>
              <w:rPr>
                <w:b/>
                <w:bCs/>
                <w:color w:val="000000" w:themeColor="text1"/>
              </w:rPr>
            </w:pPr>
            <w:r w:rsidRPr="000F48FF">
              <w:rPr>
                <w:b/>
                <w:bCs/>
                <w:color w:val="000000" w:themeColor="text1"/>
              </w:rPr>
              <w:t xml:space="preserve">(see </w:t>
            </w:r>
            <w:r w:rsidRPr="000F48FF">
              <w:rPr>
                <w:b/>
                <w:bCs/>
                <w:i/>
                <w:iCs/>
                <w:color w:val="000000" w:themeColor="text1"/>
              </w:rPr>
              <w:t xml:space="preserve">Motor Accident Injuries Act 2019 </w:t>
            </w:r>
            <w:r w:rsidR="005B380A" w:rsidRPr="000F48FF">
              <w:rPr>
                <w:b/>
                <w:bCs/>
                <w:color w:val="000000" w:themeColor="text1"/>
              </w:rPr>
              <w:t>–</w:t>
            </w:r>
            <w:r w:rsidRPr="000F48FF">
              <w:rPr>
                <w:b/>
                <w:bCs/>
                <w:color w:val="000000" w:themeColor="text1"/>
              </w:rPr>
              <w:t xml:space="preserve"> </w:t>
            </w:r>
            <w:r w:rsidRPr="000F48FF">
              <w:rPr>
                <w:b/>
                <w:bCs/>
                <w:i/>
                <w:iCs/>
                <w:color w:val="000000" w:themeColor="text1"/>
              </w:rPr>
              <w:t xml:space="preserve">Schedule 1 Part 1.2 </w:t>
            </w:r>
            <w:r w:rsidRPr="000F48FF">
              <w:rPr>
                <w:b/>
                <w:bCs/>
                <w:color w:val="000000" w:themeColor="text1"/>
              </w:rPr>
              <w:t>or Regulations for more details)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9806" w14:textId="77777777" w:rsidR="004F15DC" w:rsidRPr="000F48FF" w:rsidRDefault="004F15DC" w:rsidP="00F44AF2">
            <w:pPr>
              <w:rPr>
                <w:b/>
                <w:bCs/>
                <w:color w:val="000000" w:themeColor="text1"/>
              </w:rPr>
            </w:pPr>
            <w:r w:rsidRPr="000F48FF">
              <w:rPr>
                <w:b/>
                <w:bCs/>
                <w:color w:val="000000" w:themeColor="text1"/>
              </w:rPr>
              <w:t xml:space="preserve">Section of </w:t>
            </w:r>
          </w:p>
          <w:p w14:paraId="0C02D3AF" w14:textId="77777777" w:rsidR="004F15DC" w:rsidRPr="000F48FF" w:rsidRDefault="004F15DC" w:rsidP="00F44AF2">
            <w:pPr>
              <w:rPr>
                <w:b/>
                <w:bCs/>
                <w:i/>
                <w:iCs/>
                <w:color w:val="000000" w:themeColor="text1"/>
              </w:rPr>
            </w:pPr>
            <w:r w:rsidRPr="000F48FF">
              <w:rPr>
                <w:b/>
                <w:bCs/>
                <w:i/>
                <w:iCs/>
                <w:color w:val="000000" w:themeColor="text1"/>
              </w:rPr>
              <w:t>MAI Act</w:t>
            </w:r>
          </w:p>
        </w:tc>
      </w:tr>
      <w:tr w:rsidR="000F48FF" w:rsidRPr="000F48FF" w14:paraId="0CF2C7D2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5CD4" w14:textId="42F9A172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to refuse to accept a late application for defined benefits because the applicant does not </w:t>
            </w:r>
            <w:r w:rsidR="00542848" w:rsidRPr="000F48FF">
              <w:rPr>
                <w:color w:val="000000" w:themeColor="text1"/>
              </w:rPr>
              <w:t>have</w:t>
            </w:r>
            <w:r w:rsidRPr="000F48FF">
              <w:rPr>
                <w:color w:val="000000" w:themeColor="text1"/>
              </w:rPr>
              <w:t xml:space="preserve"> a full and satisfactory explanation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095B" w14:textId="77777777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59(2)</w:t>
            </w:r>
          </w:p>
        </w:tc>
      </w:tr>
      <w:tr w:rsidR="000F48FF" w:rsidRPr="000F48FF" w14:paraId="5B85751C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7C02" w14:textId="77777777" w:rsidR="004F15DC" w:rsidRPr="000F48FF" w:rsidRDefault="004F15DC" w:rsidP="00F44AF2">
            <w:pPr>
              <w:rPr>
                <w:b/>
                <w:bCs/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to reject liability for defined benefits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45D2" w14:textId="77777777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65(1)</w:t>
            </w:r>
          </w:p>
        </w:tc>
      </w:tr>
      <w:tr w:rsidR="000F48FF" w:rsidRPr="000F48FF" w14:paraId="2CF823E9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9BA0" w14:textId="2427E4D2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to reject liability for defined benefits because the applicant is not an injured person, a dependant of a person</w:t>
            </w:r>
            <w:r w:rsidR="00542848" w:rsidRPr="000F48FF">
              <w:rPr>
                <w:color w:val="000000" w:themeColor="text1"/>
              </w:rPr>
              <w:t xml:space="preserve"> who die as a result of the motor accident</w:t>
            </w:r>
            <w:r w:rsidRPr="000F48FF">
              <w:rPr>
                <w:color w:val="000000" w:themeColor="text1"/>
              </w:rPr>
              <w:t xml:space="preserve"> or a person who paid </w:t>
            </w:r>
            <w:r w:rsidR="00542848" w:rsidRPr="000F48FF">
              <w:rPr>
                <w:color w:val="000000" w:themeColor="text1"/>
              </w:rPr>
              <w:t xml:space="preserve">(or is liable to pay) </w:t>
            </w:r>
            <w:r w:rsidRPr="000F48FF">
              <w:rPr>
                <w:color w:val="000000" w:themeColor="text1"/>
              </w:rPr>
              <w:t xml:space="preserve">funeral expenses of a person who died as a result of a motor accident (section 55(1))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048B" w14:textId="77777777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65(1)</w:t>
            </w:r>
          </w:p>
        </w:tc>
      </w:tr>
      <w:tr w:rsidR="000F48FF" w:rsidRPr="000F48FF" w14:paraId="2BFDAB8A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6C33" w14:textId="5667948D" w:rsidR="004F15DC" w:rsidRPr="000F48FF" w:rsidRDefault="004F15DC" w:rsidP="00F44AF2">
            <w:pPr>
              <w:rPr>
                <w:i/>
                <w:iCs/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to reject liability for defined benefits because the </w:t>
            </w:r>
            <w:r w:rsidR="00005955" w:rsidRPr="000F48FF">
              <w:rPr>
                <w:color w:val="000000" w:themeColor="text1"/>
              </w:rPr>
              <w:t>person making the application</w:t>
            </w:r>
            <w:r w:rsidRPr="000F48FF">
              <w:rPr>
                <w:color w:val="000000" w:themeColor="text1"/>
              </w:rPr>
              <w:t xml:space="preserve"> is not a guardian of a person </w:t>
            </w:r>
            <w:r w:rsidR="00005955" w:rsidRPr="000F48FF">
              <w:rPr>
                <w:color w:val="000000" w:themeColor="text1"/>
              </w:rPr>
              <w:t xml:space="preserve">with a legal disability </w:t>
            </w:r>
            <w:r w:rsidRPr="000F48FF">
              <w:rPr>
                <w:color w:val="000000" w:themeColor="text1"/>
              </w:rPr>
              <w:t>or is not the personal representative of a person who died as a result of a motor accident (section 55(2))</w:t>
            </w:r>
            <w:r w:rsidRPr="000F48FF"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B01A" w14:textId="77777777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65(1)</w:t>
            </w:r>
          </w:p>
        </w:tc>
      </w:tr>
      <w:tr w:rsidR="000F48FF" w:rsidRPr="000F48FF" w14:paraId="235605E4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9BA8" w14:textId="588C2F9D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to reject liability for death benefits or funeral benefits because the death was not </w:t>
            </w:r>
            <w:r w:rsidR="00005955" w:rsidRPr="000F48FF">
              <w:rPr>
                <w:color w:val="000000" w:themeColor="text1"/>
              </w:rPr>
              <w:t>the</w:t>
            </w:r>
            <w:r w:rsidRPr="000F48FF">
              <w:rPr>
                <w:color w:val="000000" w:themeColor="text1"/>
              </w:rPr>
              <w:t xml:space="preserve"> result of a motor accident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63A8" w14:textId="77777777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s 65(1) </w:t>
            </w:r>
          </w:p>
        </w:tc>
      </w:tr>
      <w:tr w:rsidR="000F48FF" w:rsidRPr="000F48FF" w14:paraId="48E3EEA7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B7D9" w14:textId="10C160B8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to not pay defined benefits because of an act of terrorism</w:t>
            </w:r>
            <w:r w:rsidR="00005955" w:rsidRPr="000F48FF">
              <w:rPr>
                <w:color w:val="000000" w:themeColor="text1"/>
              </w:rPr>
              <w:t xml:space="preserve"> where</w:t>
            </w:r>
            <w:r w:rsidRPr="000F48FF">
              <w:rPr>
                <w:color w:val="000000" w:themeColor="text1"/>
              </w:rPr>
              <w:t xml:space="preserve"> no notice </w:t>
            </w:r>
            <w:r w:rsidR="00005955" w:rsidRPr="000F48FF">
              <w:rPr>
                <w:color w:val="000000" w:themeColor="text1"/>
              </w:rPr>
              <w:t xml:space="preserve">given </w:t>
            </w:r>
            <w:r w:rsidRPr="000F48FF">
              <w:rPr>
                <w:color w:val="000000" w:themeColor="text1"/>
              </w:rPr>
              <w:t>by Motor Accident Injuries Commission (section 49</w:t>
            </w:r>
            <w:r w:rsidRPr="000F48FF">
              <w:rPr>
                <w:i/>
                <w:iCs/>
                <w:color w:val="000000" w:themeColor="text1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C643" w14:textId="315CB1F7" w:rsidR="004F15DC" w:rsidRPr="000F48FF" w:rsidRDefault="006409A8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s </w:t>
            </w:r>
            <w:r w:rsidR="004F15DC" w:rsidRPr="000F48FF">
              <w:rPr>
                <w:color w:val="000000" w:themeColor="text1"/>
              </w:rPr>
              <w:t xml:space="preserve">66(1) </w:t>
            </w:r>
          </w:p>
        </w:tc>
      </w:tr>
      <w:tr w:rsidR="000F48FF" w:rsidRPr="000F48FF" w14:paraId="764BBD96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4F50" w14:textId="48B6150B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to not pay income replacement, quality of life or death benefits because the injury to or death of the person was self-inflicted (section 46)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9751" w14:textId="5622855E" w:rsidR="004F15DC" w:rsidRPr="000F48FF" w:rsidRDefault="006409A8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s </w:t>
            </w:r>
            <w:r w:rsidR="004F15DC" w:rsidRPr="000F48FF">
              <w:rPr>
                <w:color w:val="000000" w:themeColor="text1"/>
              </w:rPr>
              <w:t xml:space="preserve">66(1) </w:t>
            </w:r>
          </w:p>
        </w:tc>
      </w:tr>
      <w:tr w:rsidR="000F48FF" w:rsidRPr="000F48FF" w14:paraId="408FCC7C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86A" w14:textId="473DF258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to not pay treatment and care expenses because not reasonable and necessary and/or injury not related to motor accident and/or injured person has not paid and is not liable to pay for treatment and care (sections 112, 120, 129 and 131)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4D58" w14:textId="65A822A5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66(1</w:t>
            </w:r>
            <w:r w:rsidR="00005955" w:rsidRPr="000F48FF">
              <w:rPr>
                <w:color w:val="000000" w:themeColor="text1"/>
              </w:rPr>
              <w:t>)</w:t>
            </w:r>
          </w:p>
        </w:tc>
      </w:tr>
      <w:tr w:rsidR="000F48FF" w:rsidRPr="000F48FF" w14:paraId="48ACDEA3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8EA1" w14:textId="3459DE51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to not pay domestic service</w:t>
            </w:r>
            <w:r w:rsidR="00005955" w:rsidRPr="000F48FF">
              <w:rPr>
                <w:color w:val="000000" w:themeColor="text1"/>
              </w:rPr>
              <w:t>s</w:t>
            </w:r>
            <w:r w:rsidRPr="000F48FF">
              <w:rPr>
                <w:color w:val="000000" w:themeColor="text1"/>
              </w:rPr>
              <w:t xml:space="preserve"> expenses because not reasonable and necessary and/or injured person did not p</w:t>
            </w:r>
            <w:r w:rsidR="00005955" w:rsidRPr="000F48FF">
              <w:rPr>
                <w:color w:val="000000" w:themeColor="text1"/>
              </w:rPr>
              <w:t>rovide</w:t>
            </w:r>
            <w:r w:rsidRPr="000F48FF">
              <w:rPr>
                <w:color w:val="000000" w:themeColor="text1"/>
              </w:rPr>
              <w:t xml:space="preserve"> </w:t>
            </w:r>
            <w:r w:rsidR="00005955" w:rsidRPr="000F48FF">
              <w:rPr>
                <w:color w:val="000000" w:themeColor="text1"/>
              </w:rPr>
              <w:t xml:space="preserve">domestic </w:t>
            </w:r>
            <w:r w:rsidRPr="000F48FF">
              <w:rPr>
                <w:color w:val="000000" w:themeColor="text1"/>
              </w:rPr>
              <w:t>service</w:t>
            </w:r>
            <w:r w:rsidR="00005955" w:rsidRPr="000F48FF">
              <w:rPr>
                <w:color w:val="000000" w:themeColor="text1"/>
              </w:rPr>
              <w:t>s</w:t>
            </w:r>
            <w:r w:rsidRPr="000F48FF">
              <w:rPr>
                <w:color w:val="000000" w:themeColor="text1"/>
              </w:rPr>
              <w:t xml:space="preserve"> before injury and/or dependants able to undertake </w:t>
            </w:r>
            <w:r w:rsidR="00005955" w:rsidRPr="000F48FF">
              <w:rPr>
                <w:color w:val="000000" w:themeColor="text1"/>
              </w:rPr>
              <w:t xml:space="preserve">domestic </w:t>
            </w:r>
            <w:r w:rsidRPr="000F48FF">
              <w:rPr>
                <w:color w:val="000000" w:themeColor="text1"/>
              </w:rPr>
              <w:t xml:space="preserve">services (section 112, 114, 120, 129 </w:t>
            </w:r>
            <w:r w:rsidR="00005955" w:rsidRPr="000F48FF">
              <w:rPr>
                <w:color w:val="000000" w:themeColor="text1"/>
              </w:rPr>
              <w:t>and</w:t>
            </w:r>
            <w:r w:rsidRPr="000F48FF">
              <w:rPr>
                <w:color w:val="000000" w:themeColor="text1"/>
              </w:rPr>
              <w:t xml:space="preserve"> 131)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B1AC" w14:textId="77777777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ss 66(1)</w:t>
            </w:r>
          </w:p>
        </w:tc>
      </w:tr>
      <w:tr w:rsidR="000F48FF" w:rsidRPr="000F48FF" w14:paraId="53F24E7A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F42C" w14:textId="2783A265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to not pay travel expenses because travel and accommodation not reasonable and necessary and/or travel not undertaken for treatment and care (section 112, 115 </w:t>
            </w:r>
            <w:r w:rsidR="00005955" w:rsidRPr="000F48FF">
              <w:rPr>
                <w:color w:val="000000" w:themeColor="text1"/>
              </w:rPr>
              <w:t xml:space="preserve">129 and </w:t>
            </w:r>
            <w:r w:rsidRPr="000F48FF">
              <w:rPr>
                <w:color w:val="000000" w:themeColor="text1"/>
              </w:rPr>
              <w:t>131)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1779" w14:textId="77777777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66(1)</w:t>
            </w:r>
          </w:p>
        </w:tc>
      </w:tr>
      <w:tr w:rsidR="000F48FF" w:rsidRPr="000F48FF" w14:paraId="79C58713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9024" w14:textId="1266E2BF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to not pay income replacement or quality of life benefits because injured person </w:t>
            </w:r>
            <w:r w:rsidR="00005955" w:rsidRPr="000F48FF">
              <w:rPr>
                <w:color w:val="000000" w:themeColor="text1"/>
              </w:rPr>
              <w:t xml:space="preserve">was </w:t>
            </w:r>
            <w:r w:rsidRPr="000F48FF">
              <w:rPr>
                <w:color w:val="000000" w:themeColor="text1"/>
              </w:rPr>
              <w:t>responsible for, or the at-fault driver of, uninsured vehicle and circumstances in section 43(2) or 43(3) do not apply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652F" w14:textId="77777777" w:rsidR="004F15DC" w:rsidRPr="000F48FF" w:rsidRDefault="004F15DC" w:rsidP="00F44AF2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66(1)</w:t>
            </w:r>
          </w:p>
        </w:tc>
      </w:tr>
      <w:tr w:rsidR="000F48FF" w:rsidRPr="000F48FF" w14:paraId="0EFFF107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DD4A" w14:textId="79F88FA8" w:rsidR="004F15DC" w:rsidRPr="000F48FF" w:rsidRDefault="00005955" w:rsidP="0025282C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to </w:t>
            </w:r>
            <w:r w:rsidR="004F15DC" w:rsidRPr="000F48FF">
              <w:rPr>
                <w:color w:val="000000" w:themeColor="text1"/>
              </w:rPr>
              <w:t>not pay death benefit</w:t>
            </w:r>
            <w:r w:rsidR="00550E41" w:rsidRPr="000F48FF">
              <w:rPr>
                <w:color w:val="000000" w:themeColor="text1"/>
              </w:rPr>
              <w:t>s</w:t>
            </w:r>
            <w:r w:rsidR="004F15DC" w:rsidRPr="000F48FF">
              <w:rPr>
                <w:color w:val="000000" w:themeColor="text1"/>
              </w:rPr>
              <w:t xml:space="preserve"> because coroner finds elements of </w:t>
            </w:r>
            <w:r w:rsidRPr="000F48FF">
              <w:rPr>
                <w:color w:val="000000" w:themeColor="text1"/>
              </w:rPr>
              <w:t xml:space="preserve">serious offence or </w:t>
            </w:r>
            <w:r w:rsidR="005A34BF" w:rsidRPr="000F48FF">
              <w:rPr>
                <w:color w:val="000000" w:themeColor="text1"/>
              </w:rPr>
              <w:t>two</w:t>
            </w:r>
            <w:r w:rsidR="004F15DC" w:rsidRPr="000F48FF">
              <w:rPr>
                <w:color w:val="000000" w:themeColor="text1"/>
              </w:rPr>
              <w:t xml:space="preserve"> or more driving offences (</w:t>
            </w:r>
            <w:r w:rsidR="008258E4" w:rsidRPr="000F48FF">
              <w:rPr>
                <w:color w:val="000000" w:themeColor="text1"/>
              </w:rPr>
              <w:t>s</w:t>
            </w:r>
            <w:r w:rsidR="004F15DC" w:rsidRPr="000F48FF">
              <w:rPr>
                <w:color w:val="000000" w:themeColor="text1"/>
              </w:rPr>
              <w:t>ections 41, 48(7) and 171)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1D3F" w14:textId="685B9538" w:rsidR="004F15DC" w:rsidRPr="000F48FF" w:rsidRDefault="006409A8" w:rsidP="0025282C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</w:t>
            </w:r>
            <w:r w:rsidR="004F15DC" w:rsidRPr="000F48FF">
              <w:rPr>
                <w:color w:val="000000" w:themeColor="text1"/>
              </w:rPr>
              <w:t xml:space="preserve"> 66(1)</w:t>
            </w:r>
          </w:p>
        </w:tc>
      </w:tr>
      <w:tr w:rsidR="000F48FF" w:rsidRPr="000F48FF" w14:paraId="1EFF014C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45D4" w14:textId="4FAC1D29" w:rsidR="004F15DC" w:rsidRPr="000F48FF" w:rsidRDefault="004F15DC" w:rsidP="0025282C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to not pay income replacement </w:t>
            </w:r>
            <w:r w:rsidR="00005955" w:rsidRPr="000F48FF">
              <w:rPr>
                <w:color w:val="000000" w:themeColor="text1"/>
              </w:rPr>
              <w:t>benefit</w:t>
            </w:r>
            <w:r w:rsidR="00550E41" w:rsidRPr="000F48FF">
              <w:rPr>
                <w:color w:val="000000" w:themeColor="text1"/>
              </w:rPr>
              <w:t>s</w:t>
            </w:r>
            <w:r w:rsidR="00005955" w:rsidRPr="000F48FF">
              <w:rPr>
                <w:color w:val="000000" w:themeColor="text1"/>
              </w:rPr>
              <w:t xml:space="preserve"> </w:t>
            </w:r>
            <w:r w:rsidRPr="000F48FF">
              <w:rPr>
                <w:color w:val="000000" w:themeColor="text1"/>
              </w:rPr>
              <w:t>because injured person is not entitled (section 89)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96E8" w14:textId="70EE6337" w:rsidR="004F15DC" w:rsidRPr="000F48FF" w:rsidRDefault="006409A8" w:rsidP="0025282C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</w:t>
            </w:r>
            <w:r w:rsidR="004F15DC" w:rsidRPr="000F48FF">
              <w:rPr>
                <w:color w:val="000000" w:themeColor="text1"/>
              </w:rPr>
              <w:t xml:space="preserve"> 66(1)</w:t>
            </w:r>
          </w:p>
        </w:tc>
      </w:tr>
      <w:tr w:rsidR="000F48FF" w:rsidRPr="000F48FF" w14:paraId="7AC68A6A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A3FB" w14:textId="4FD76D5F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lastRenderedPageBreak/>
              <w:t>to not pay funeral benefits because of act of terrorism, or funeral for foreign national who died outside Australia or amount paid by workers compensation (sections 49, 178, 179 and 180)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C28E" w14:textId="79D1733B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s 66(1)  </w:t>
            </w:r>
          </w:p>
        </w:tc>
      </w:tr>
      <w:tr w:rsidR="000F48FF" w:rsidRPr="000F48FF" w14:paraId="43F5D79E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913C" w14:textId="18E794EC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about the amount of income replacement benefit</w:t>
            </w:r>
            <w:r w:rsidR="00550E41" w:rsidRPr="000F48FF">
              <w:rPr>
                <w:color w:val="000000" w:themeColor="text1"/>
              </w:rPr>
              <w:t>s</w:t>
            </w:r>
            <w:r w:rsidRPr="000F48FF">
              <w:rPr>
                <w:color w:val="000000" w:themeColor="text1"/>
              </w:rPr>
              <w:t xml:space="preserve"> in the first or second payment period (section 96 or 97)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6F5B" w14:textId="4F7A58CC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96 or s 97</w:t>
            </w:r>
          </w:p>
        </w:tc>
      </w:tr>
      <w:tr w:rsidR="000F48FF" w:rsidRPr="000F48FF" w14:paraId="2AAC3FFB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8EE8" w14:textId="4C2866BC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about the injured person’s post injury earning capacity (section 100)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3133" w14:textId="0D7BF393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s 100(1) </w:t>
            </w:r>
          </w:p>
        </w:tc>
      </w:tr>
      <w:tr w:rsidR="000F48FF" w:rsidRPr="000F48FF" w14:paraId="5796859D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3A7B" w14:textId="31F6EBE4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to refuse to make earlier payment of income replacement benefits to injured person who makes a late application for defined benefits</w:t>
            </w:r>
            <w:r w:rsidR="001C0320" w:rsidRPr="000F48FF">
              <w:rPr>
                <w:color w:val="000000" w:themeColor="text1"/>
              </w:rPr>
              <w:t xml:space="preserve"> </w:t>
            </w:r>
            <w:r w:rsidR="006B4C3B" w:rsidRPr="000F48FF">
              <w:rPr>
                <w:color w:val="000000" w:themeColor="text1"/>
              </w:rPr>
              <w:t>because insurer not</w:t>
            </w:r>
            <w:r w:rsidR="001C0320" w:rsidRPr="000F48FF">
              <w:rPr>
                <w:color w:val="000000" w:themeColor="text1"/>
              </w:rPr>
              <w:t xml:space="preserve"> satisfied that</w:t>
            </w:r>
            <w:r w:rsidRPr="000F48FF">
              <w:rPr>
                <w:color w:val="000000" w:themeColor="text1"/>
              </w:rPr>
              <w:t xml:space="preserve"> there are exceptional circumstances justifying earlier payment (sections</w:t>
            </w:r>
            <w:r w:rsidR="001C0320" w:rsidRPr="000F48FF">
              <w:rPr>
                <w:color w:val="000000" w:themeColor="text1"/>
              </w:rPr>
              <w:t> </w:t>
            </w:r>
            <w:r w:rsidRPr="000F48FF">
              <w:rPr>
                <w:color w:val="000000" w:themeColor="text1"/>
              </w:rPr>
              <w:t>101(3)(b)(ii), 101(4)(b)(ii) or 101(5)(b)(ii))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404D" w14:textId="673C03C0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101</w:t>
            </w:r>
          </w:p>
        </w:tc>
      </w:tr>
      <w:tr w:rsidR="000F48FF" w:rsidRPr="000F48FF" w14:paraId="4F66ACF2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C85A" w14:textId="3778AD96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to suspend defined benefit</w:t>
            </w:r>
            <w:r w:rsidR="0028210A" w:rsidRPr="000F48FF">
              <w:rPr>
                <w:color w:val="000000" w:themeColor="text1"/>
              </w:rPr>
              <w:t>s</w:t>
            </w:r>
            <w:r w:rsidRPr="000F48FF">
              <w:rPr>
                <w:color w:val="000000" w:themeColor="text1"/>
              </w:rPr>
              <w:t xml:space="preserve"> payments because injured person failed </w:t>
            </w:r>
            <w:r w:rsidR="001C0320" w:rsidRPr="000F48FF">
              <w:rPr>
                <w:color w:val="000000" w:themeColor="text1"/>
              </w:rPr>
              <w:t xml:space="preserve">without reasonable excuse </w:t>
            </w:r>
            <w:r w:rsidRPr="000F48FF">
              <w:rPr>
                <w:color w:val="000000" w:themeColor="text1"/>
              </w:rPr>
              <w:t xml:space="preserve">to comply with reasonable request to undergo medical or other examination to assess their fitness for work (section 105(2)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0941" w14:textId="0468C32E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s 105(2) </w:t>
            </w:r>
          </w:p>
        </w:tc>
      </w:tr>
      <w:tr w:rsidR="000F48FF" w:rsidRPr="000F48FF" w14:paraId="39BF5587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B1CF" w14:textId="48617BE6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to reduce or stop paying income replacement benefits because person is no longer entitled to the amount of or the payment of the benefit</w:t>
            </w:r>
            <w:r w:rsidR="0028210A" w:rsidRPr="000F48FF">
              <w:rPr>
                <w:color w:val="000000" w:themeColor="text1"/>
              </w:rPr>
              <w:t>s</w:t>
            </w:r>
            <w:r w:rsidRPr="000F48FF">
              <w:rPr>
                <w:color w:val="000000" w:themeColor="text1"/>
              </w:rPr>
              <w:t xml:space="preserve"> (section</w:t>
            </w:r>
            <w:r w:rsidR="0028210A" w:rsidRPr="000F48FF">
              <w:rPr>
                <w:color w:val="000000" w:themeColor="text1"/>
              </w:rPr>
              <w:t> </w:t>
            </w:r>
            <w:r w:rsidRPr="000F48FF">
              <w:rPr>
                <w:color w:val="000000" w:themeColor="text1"/>
              </w:rPr>
              <w:t>107(1)(b))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14BC" w14:textId="4761512E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107(1)(b)</w:t>
            </w:r>
          </w:p>
        </w:tc>
      </w:tr>
      <w:tr w:rsidR="000F48FF" w:rsidRPr="000F48FF" w14:paraId="1CFDA52E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DEBA" w14:textId="3438C091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to request injured person attend health practitioner for assessment of treatment and care needs (section 121(1))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78BC" w14:textId="77777777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s 121(1) </w:t>
            </w:r>
          </w:p>
        </w:tc>
      </w:tr>
      <w:tr w:rsidR="000F48FF" w:rsidRPr="000F48FF" w14:paraId="3B8B1D58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AA3B" w14:textId="120117BB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to suspend payment of treatment and care </w:t>
            </w:r>
            <w:r w:rsidR="001C0320" w:rsidRPr="000F48FF">
              <w:rPr>
                <w:color w:val="000000" w:themeColor="text1"/>
              </w:rPr>
              <w:t>or</w:t>
            </w:r>
            <w:r w:rsidRPr="000F48FF">
              <w:rPr>
                <w:color w:val="000000" w:themeColor="text1"/>
              </w:rPr>
              <w:t xml:space="preserve"> income replacement benefits because injured person failed without reasonable excuse to comply with reasonable request to attend health practitioner (section 121(3))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6F13" w14:textId="42147ACD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121(3)</w:t>
            </w:r>
          </w:p>
        </w:tc>
      </w:tr>
      <w:tr w:rsidR="000F48FF" w:rsidRPr="000F48FF" w14:paraId="2B6E4BF7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931B" w14:textId="71375DC8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to refuse to approve treatment and care not mentioned in the injured person’s recovery plan</w:t>
            </w:r>
            <w:r w:rsidR="001C0320" w:rsidRPr="000F48FF">
              <w:rPr>
                <w:color w:val="000000" w:themeColor="text1"/>
              </w:rPr>
              <w:t xml:space="preserve"> </w:t>
            </w:r>
            <w:r w:rsidR="006B4C3B" w:rsidRPr="000F48FF">
              <w:rPr>
                <w:color w:val="000000" w:themeColor="text1"/>
              </w:rPr>
              <w:t>because insurer</w:t>
            </w:r>
            <w:r w:rsidR="001C0320" w:rsidRPr="000F48FF">
              <w:rPr>
                <w:color w:val="000000" w:themeColor="text1"/>
              </w:rPr>
              <w:t xml:space="preserve"> not satisfied treatment and care is reasonable and necessary and will assist with injured person’s recovery or injury management</w:t>
            </w:r>
            <w:r w:rsidRPr="000F48FF">
              <w:rPr>
                <w:color w:val="000000" w:themeColor="text1"/>
              </w:rPr>
              <w:t xml:space="preserve"> (section</w:t>
            </w:r>
            <w:r w:rsidR="001C0320" w:rsidRPr="000F48FF">
              <w:rPr>
                <w:color w:val="000000" w:themeColor="text1"/>
              </w:rPr>
              <w:t> </w:t>
            </w:r>
            <w:r w:rsidRPr="000F48FF">
              <w:rPr>
                <w:color w:val="000000" w:themeColor="text1"/>
              </w:rPr>
              <w:t>126(2))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605A" w14:textId="4EF8195B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s 126(2) </w:t>
            </w:r>
          </w:p>
        </w:tc>
      </w:tr>
      <w:tr w:rsidR="000F48FF" w:rsidRPr="000F48FF" w14:paraId="581BEE44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1274" w14:textId="4869A6CF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to not pay treatment and care expenses earlier than 13 weeks before the late application because insurer not satisfied there are exceptional circumstances justifying earlier payment (section 12</w:t>
            </w:r>
            <w:r w:rsidR="001C0320" w:rsidRPr="000F48FF">
              <w:rPr>
                <w:color w:val="000000" w:themeColor="text1"/>
              </w:rPr>
              <w:t>8</w:t>
            </w:r>
            <w:r w:rsidRPr="000F48FF">
              <w:rPr>
                <w:color w:val="000000" w:themeColor="text1"/>
              </w:rPr>
              <w:t>(2)(a)(i)(B))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D02B" w14:textId="77777777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128(2)</w:t>
            </w:r>
          </w:p>
        </w:tc>
      </w:tr>
      <w:tr w:rsidR="000F48FF" w:rsidRPr="000F48FF" w14:paraId="784157CC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8F14" w14:textId="64CB0BA8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the amount of the injured person’s final offer WPI (section 160(2))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CD14" w14:textId="3CEAC387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s 160(2) </w:t>
            </w:r>
          </w:p>
        </w:tc>
      </w:tr>
      <w:tr w:rsidR="000F48FF" w:rsidRPr="000F48FF" w14:paraId="22877D5B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1DA6" w14:textId="4B2F6257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to not pay periodic payment of treatment and care and income replacement benefits to an Australian living overseas </w:t>
            </w:r>
            <w:r w:rsidR="001C0320" w:rsidRPr="000F48FF">
              <w:rPr>
                <w:color w:val="000000" w:themeColor="text1"/>
              </w:rPr>
              <w:t>because</w:t>
            </w:r>
            <w:r w:rsidRPr="000F48FF">
              <w:rPr>
                <w:color w:val="000000" w:themeColor="text1"/>
              </w:rPr>
              <w:t xml:space="preserve"> </w:t>
            </w:r>
            <w:r w:rsidR="001C0320" w:rsidRPr="000F48FF">
              <w:rPr>
                <w:color w:val="000000" w:themeColor="text1"/>
              </w:rPr>
              <w:t xml:space="preserve">injured </w:t>
            </w:r>
            <w:r w:rsidRPr="000F48FF">
              <w:rPr>
                <w:color w:val="000000" w:themeColor="text1"/>
              </w:rPr>
              <w:t xml:space="preserve">person </w:t>
            </w:r>
            <w:r w:rsidR="001C0320" w:rsidRPr="000F48FF">
              <w:rPr>
                <w:color w:val="000000" w:themeColor="text1"/>
              </w:rPr>
              <w:t>does not intend</w:t>
            </w:r>
            <w:r w:rsidRPr="000F48FF">
              <w:rPr>
                <w:color w:val="000000" w:themeColor="text1"/>
              </w:rPr>
              <w:t xml:space="preserve"> to live overseas permanently or for extended period (section 183(2))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62EB" w14:textId="7732DD9E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183(2)</w:t>
            </w:r>
          </w:p>
        </w:tc>
      </w:tr>
      <w:tr w:rsidR="000F48FF" w:rsidRPr="000F48FF" w14:paraId="456143BF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D770" w14:textId="1FC9EB97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to not pay periodic payment of treatment and care and income replacement benefits to an Australian living overseas because </w:t>
            </w:r>
            <w:r w:rsidR="001C0320" w:rsidRPr="000F48FF">
              <w:rPr>
                <w:color w:val="000000" w:themeColor="text1"/>
              </w:rPr>
              <w:t xml:space="preserve">injured person </w:t>
            </w:r>
            <w:r w:rsidRPr="000F48FF">
              <w:rPr>
                <w:color w:val="000000" w:themeColor="text1"/>
              </w:rPr>
              <w:t>has not lived outside Australia for at least eligibility period (section 18</w:t>
            </w:r>
            <w:r w:rsidR="001C0320" w:rsidRPr="000F48FF">
              <w:rPr>
                <w:color w:val="000000" w:themeColor="text1"/>
              </w:rPr>
              <w:t>3(2</w:t>
            </w:r>
            <w:r w:rsidRPr="000F48FF">
              <w:rPr>
                <w:color w:val="000000" w:themeColor="text1"/>
              </w:rPr>
              <w:t>))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BEB0" w14:textId="6FBC2DF1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>s 183(</w:t>
            </w:r>
            <w:r w:rsidR="001C0320" w:rsidRPr="000F48FF">
              <w:rPr>
                <w:color w:val="000000" w:themeColor="text1"/>
              </w:rPr>
              <w:t>2</w:t>
            </w:r>
            <w:r w:rsidRPr="000F48FF">
              <w:rPr>
                <w:color w:val="000000" w:themeColor="text1"/>
              </w:rPr>
              <w:t xml:space="preserve">) </w:t>
            </w:r>
          </w:p>
        </w:tc>
      </w:tr>
      <w:tr w:rsidR="00005955" w:rsidRPr="000F48FF" w14:paraId="3EB88D3C" w14:textId="77777777" w:rsidTr="00C75EF3"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E01C" w14:textId="2101EE8C" w:rsidR="00005955" w:rsidRPr="000F48FF" w:rsidRDefault="001C0320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to </w:t>
            </w:r>
            <w:r w:rsidR="00005955" w:rsidRPr="000F48FF">
              <w:rPr>
                <w:color w:val="000000" w:themeColor="text1"/>
              </w:rPr>
              <w:t>calculat</w:t>
            </w:r>
            <w:r w:rsidRPr="000F48FF">
              <w:rPr>
                <w:color w:val="000000" w:themeColor="text1"/>
              </w:rPr>
              <w:t>e</w:t>
            </w:r>
            <w:r w:rsidR="00005955" w:rsidRPr="000F48FF">
              <w:rPr>
                <w:color w:val="000000" w:themeColor="text1"/>
              </w:rPr>
              <w:t xml:space="preserve"> the lump sum amount for foreign national as less than $10,000 (section 184(4))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7753" w14:textId="5D7C5330" w:rsidR="00005955" w:rsidRPr="000F48FF" w:rsidRDefault="00005955" w:rsidP="00005955">
            <w:pPr>
              <w:rPr>
                <w:color w:val="000000" w:themeColor="text1"/>
              </w:rPr>
            </w:pPr>
            <w:r w:rsidRPr="000F48FF">
              <w:rPr>
                <w:color w:val="000000" w:themeColor="text1"/>
              </w:rPr>
              <w:t xml:space="preserve">s 184(4) </w:t>
            </w:r>
          </w:p>
        </w:tc>
      </w:tr>
      <w:bookmarkEnd w:id="0"/>
    </w:tbl>
    <w:p w14:paraId="43C8CDFC" w14:textId="77777777" w:rsidR="00590CB6" w:rsidRPr="000F48FF" w:rsidRDefault="000F48FF">
      <w:pPr>
        <w:rPr>
          <w:color w:val="000000" w:themeColor="text1"/>
        </w:rPr>
      </w:pPr>
    </w:p>
    <w:sectPr w:rsidR="00590CB6" w:rsidRPr="000F4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DC"/>
    <w:rsid w:val="00005955"/>
    <w:rsid w:val="00071C95"/>
    <w:rsid w:val="000F48FF"/>
    <w:rsid w:val="001B55F6"/>
    <w:rsid w:val="001C0320"/>
    <w:rsid w:val="0025282C"/>
    <w:rsid w:val="0028210A"/>
    <w:rsid w:val="002A42EC"/>
    <w:rsid w:val="002D10F8"/>
    <w:rsid w:val="004D68DF"/>
    <w:rsid w:val="004F15DC"/>
    <w:rsid w:val="00542848"/>
    <w:rsid w:val="00550E41"/>
    <w:rsid w:val="005760F6"/>
    <w:rsid w:val="005A2349"/>
    <w:rsid w:val="005A34BF"/>
    <w:rsid w:val="005B380A"/>
    <w:rsid w:val="00624C7B"/>
    <w:rsid w:val="006409A8"/>
    <w:rsid w:val="00696145"/>
    <w:rsid w:val="006B4C3B"/>
    <w:rsid w:val="006E468A"/>
    <w:rsid w:val="006F75FE"/>
    <w:rsid w:val="008258E4"/>
    <w:rsid w:val="008A6260"/>
    <w:rsid w:val="00B11E93"/>
    <w:rsid w:val="00BD08E6"/>
    <w:rsid w:val="00C10398"/>
    <w:rsid w:val="00C40848"/>
    <w:rsid w:val="00D135BF"/>
    <w:rsid w:val="00DA236A"/>
    <w:rsid w:val="00ED09CA"/>
    <w:rsid w:val="00F44AF2"/>
    <w:rsid w:val="00F9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36C3"/>
  <w15:chartTrackingRefBased/>
  <w15:docId w15:val="{31AF34C8-4BE6-4224-B25C-90B57FD3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15DC"/>
    <w:pPr>
      <w:spacing w:before="60" w:after="6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15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24C7B"/>
    <w:pPr>
      <w:spacing w:before="100" w:after="200"/>
    </w:pPr>
    <w:rPr>
      <w:rFonts w:ascii="Arial" w:eastAsia="SimSun" w:hAnsi="Arial" w:cs="Arial"/>
      <w:i/>
      <w:iCs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4F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F1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5D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5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D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1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3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 Lalor</dc:creator>
  <cp:keywords/>
  <dc:description/>
  <cp:lastModifiedBy>Meaney, Miriam</cp:lastModifiedBy>
  <cp:revision>22</cp:revision>
  <cp:lastPrinted>2020-01-17T01:45:00Z</cp:lastPrinted>
  <dcterms:created xsi:type="dcterms:W3CDTF">2020-01-07T04:55:00Z</dcterms:created>
  <dcterms:modified xsi:type="dcterms:W3CDTF">2020-01-24T03:09:00Z</dcterms:modified>
</cp:coreProperties>
</file>